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25766" w14:textId="77777777" w:rsidR="006E7EE9" w:rsidRPr="006E7EE9" w:rsidRDefault="006E7EE9" w:rsidP="006E7EE9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40"/>
          <w:szCs w:val="40"/>
          <w:lang w:eastAsia="ar-SA"/>
        </w:rPr>
      </w:pPr>
      <w:r w:rsidRPr="006E7EE9">
        <w:rPr>
          <w:rFonts w:ascii="Times New Roman" w:eastAsia="Times New Roman" w:hAnsi="Times New Roman" w:cs="Calibri"/>
          <w:b/>
          <w:sz w:val="40"/>
          <w:szCs w:val="40"/>
          <w:lang w:eastAsia="ar-SA"/>
        </w:rPr>
        <w:t xml:space="preserve">Wymagania edukacyjne na lekcjach historii w szkole podstawowej </w:t>
      </w:r>
    </w:p>
    <w:p w14:paraId="7B9FB619" w14:textId="77777777" w:rsidR="006E7EE9" w:rsidRPr="006E7EE9" w:rsidRDefault="006E7EE9" w:rsidP="006E7E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</w:p>
    <w:p w14:paraId="3919D950" w14:textId="77777777" w:rsidR="006E7EE9" w:rsidRPr="006E7EE9" w:rsidRDefault="006E7EE9" w:rsidP="006E7E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 w:rsidRPr="006E7EE9">
        <w:rPr>
          <w:rFonts w:ascii="Calibri" w:eastAsia="Times New Roman" w:hAnsi="Calibri" w:cs="Calibri"/>
          <w:b/>
          <w:sz w:val="32"/>
          <w:szCs w:val="32"/>
          <w:lang w:eastAsia="ar-SA"/>
        </w:rPr>
        <w:t>Zasady oceniania  na lekcjach historii</w:t>
      </w:r>
    </w:p>
    <w:p w14:paraId="2FB2B232" w14:textId="52E0040C" w:rsidR="006E7EE9" w:rsidRPr="006E7EE9" w:rsidRDefault="006E7EE9" w:rsidP="006E7E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ar-SA"/>
        </w:rPr>
      </w:pPr>
      <w:r>
        <w:rPr>
          <w:rFonts w:ascii="Calibri" w:eastAsia="Times New Roman" w:hAnsi="Calibri" w:cs="Calibri"/>
          <w:b/>
          <w:sz w:val="32"/>
          <w:szCs w:val="32"/>
          <w:lang w:eastAsia="ar-SA"/>
        </w:rPr>
        <w:t>w klasie 6</w:t>
      </w:r>
      <w:r w:rsidRPr="006E7EE9">
        <w:rPr>
          <w:rFonts w:ascii="Calibri" w:eastAsia="Times New Roman" w:hAnsi="Calibri" w:cs="Calibri"/>
          <w:b/>
          <w:sz w:val="32"/>
          <w:szCs w:val="32"/>
          <w:lang w:eastAsia="ar-SA"/>
        </w:rPr>
        <w:t xml:space="preserve"> szkoły podstawowej</w:t>
      </w:r>
    </w:p>
    <w:p w14:paraId="756B03B9" w14:textId="77777777" w:rsidR="006E7EE9" w:rsidRPr="006E7EE9" w:rsidRDefault="006E7EE9" w:rsidP="006E7EE9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40"/>
          <w:szCs w:val="40"/>
          <w:lang w:eastAsia="ar-SA"/>
        </w:rPr>
      </w:pPr>
    </w:p>
    <w:p w14:paraId="257ACF10" w14:textId="2472FF2A" w:rsidR="006E7EE9" w:rsidRPr="006E7EE9" w:rsidRDefault="006E7EE9" w:rsidP="006E7EE9">
      <w:pPr>
        <w:spacing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Przedmiotowe zasady oceniania są zgodne</w:t>
      </w:r>
      <w:r w:rsidRPr="006E7E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 xml:space="preserve"> </w:t>
      </w: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 z rozporządzeniem MEN z dnia 22 lutego 2019  roku </w:t>
      </w:r>
      <w:r w:rsidRPr="006E7E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sprawie oceniania, klasyfikowania                                 i promowania uczniów i słuchaczy w szkołach publicznych (Dz. U. z 2019 r., poz. 373)</w:t>
      </w: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r w:rsidRPr="006E7EE9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pl-PL"/>
        </w:rPr>
        <w:t> </w:t>
      </w: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oraz ze Statutem  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Szkoły Podstawowej </w:t>
      </w:r>
      <w:bookmarkStart w:id="0" w:name="_GoBack"/>
      <w:bookmarkEnd w:id="0"/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  Aleksandrii. </w:t>
      </w:r>
    </w:p>
    <w:p w14:paraId="73666037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9862228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b/>
          <w:sz w:val="24"/>
          <w:szCs w:val="24"/>
          <w:lang w:eastAsia="ar-SA"/>
        </w:rPr>
        <w:t>I OGÓLNE ZASADY OCENIANIA</w:t>
      </w:r>
    </w:p>
    <w:p w14:paraId="69D91BE4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90FDEFB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1. Celem oceniania jest:</w:t>
      </w:r>
    </w:p>
    <w:p w14:paraId="00EA2545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- rozpoznawanie poziomu i postępów w nauce,</w:t>
      </w:r>
    </w:p>
    <w:p w14:paraId="31A472A0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- informowanie uczniów o poziomie ich osiągnięć edukacyjnych,</w:t>
      </w:r>
    </w:p>
    <w:p w14:paraId="0CCE4490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- pomaganie uczniom w samodzielnym planowaniu swojego rozwoju,</w:t>
      </w:r>
    </w:p>
    <w:p w14:paraId="6028FE86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- zapobieganie niepowodzeniom,</w:t>
      </w:r>
    </w:p>
    <w:p w14:paraId="1FB93156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- motywowanie uczniów do dalszej pracy,</w:t>
      </w:r>
    </w:p>
    <w:p w14:paraId="1EA67986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- informowanie rodziców (opiekunów prawnych) i nauczycieli o postępach, trudnościach i specjalnych uzdolnieniach ucznia.</w:t>
      </w:r>
    </w:p>
    <w:p w14:paraId="7390D5E1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66A0E87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 xml:space="preserve">2. Ocenianiu podlegają osiągnięcia edukacyjne ucznia, czyli umiejętności i stan wiedzy uczniów oraz postępy czynione przez ucznia. </w:t>
      </w:r>
    </w:p>
    <w:p w14:paraId="7DBC1932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41F904C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9EF7446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3. Wymagania edukacyjne są dostosowane do indywidualnych potrzeb rozwojowych i edukacyjnych oraz możliwości psychofizycznych ucznia.</w:t>
      </w:r>
    </w:p>
    <w:p w14:paraId="324C71E7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39BA87E8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 xml:space="preserve">4. Informacje dotyczące wymagań edukacyjnych oraz sposobów sprawdzania osiągnięć edukacyjnych z przedmiotu są dostępne na stronie internetowej szkoły w zakładce </w:t>
      </w:r>
      <w:r w:rsidRPr="006E7EE9">
        <w:rPr>
          <w:rFonts w:ascii="Calibri" w:eastAsia="Times New Roman" w:hAnsi="Calibri" w:cs="Calibri"/>
          <w:i/>
          <w:sz w:val="24"/>
          <w:szCs w:val="24"/>
          <w:lang w:eastAsia="ar-SA"/>
        </w:rPr>
        <w:t xml:space="preserve">Dokumenty szkolne </w:t>
      </w: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. Nauczyciel na bieżąco informuje uczniów o ich postępach i osiągnięciach edukacyjnych.</w:t>
      </w:r>
    </w:p>
    <w:p w14:paraId="43FC92B8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B95629A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 xml:space="preserve">5. Wszystkie oceny są jawne zarówno dla ucznia, jak i jego rodziców (prawnych opiekunów). </w:t>
      </w:r>
    </w:p>
    <w:p w14:paraId="3CF48BE8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0CA81495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lastRenderedPageBreak/>
        <w:t>6. Ocenianie ma charakter  systematyczny . Zarówno oceny cząstkowe, śródroczne, jak i ocena roczna ( końcoworoczna) wyrażone są                       w sześciostopniowej skali: od 1 do 6.</w:t>
      </w:r>
    </w:p>
    <w:p w14:paraId="272A4EAE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1D1925AE" w14:textId="77777777" w:rsidR="006E7EE9" w:rsidRPr="006E7EE9" w:rsidRDefault="006E7EE9" w:rsidP="006E7EE9">
      <w:pPr>
        <w:tabs>
          <w:tab w:val="left" w:pos="633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Przyjęto następującą skalę ocen:</w:t>
      </w:r>
    </w:p>
    <w:p w14:paraId="68C74E17" w14:textId="77777777" w:rsidR="006E7EE9" w:rsidRPr="006E7EE9" w:rsidRDefault="006E7EE9" w:rsidP="006E7EE9">
      <w:pPr>
        <w:tabs>
          <w:tab w:val="left" w:pos="633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410BA5F1" w14:textId="77777777" w:rsidR="006E7EE9" w:rsidRPr="006E7EE9" w:rsidRDefault="006E7EE9" w:rsidP="006E7EE9">
      <w:pPr>
        <w:tabs>
          <w:tab w:val="left" w:pos="633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niedostateczny = 1</w:t>
      </w: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br/>
        <w:t>dopuszczający = 2</w:t>
      </w: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br/>
        <w:t>dostateczny = 3</w:t>
      </w: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br/>
        <w:t>dobry = 4</w:t>
      </w: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br/>
        <w:t>bardzo dobry = 5</w:t>
      </w: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br/>
        <w:t>celujący = 6</w:t>
      </w:r>
    </w:p>
    <w:p w14:paraId="76E9E35E" w14:textId="77777777" w:rsidR="006E7EE9" w:rsidRPr="006E7EE9" w:rsidRDefault="006E7EE9" w:rsidP="006E7EE9">
      <w:pPr>
        <w:tabs>
          <w:tab w:val="left" w:pos="6339"/>
        </w:tabs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br/>
        <w:t>Do zapisywania stopni cząstkowych stosuje się skalę poszerzoną o znaki „+” i „–”.</w:t>
      </w: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br/>
      </w:r>
    </w:p>
    <w:p w14:paraId="05C47EAB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b/>
          <w:sz w:val="24"/>
          <w:szCs w:val="24"/>
          <w:lang w:eastAsia="ar-SA"/>
        </w:rPr>
        <w:t xml:space="preserve">II SZCZEGÓŁOWE ZASADY OCENIANIA </w:t>
      </w:r>
    </w:p>
    <w:p w14:paraId="5E3C20CA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43C2C7D7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Przedmiotem oceniania na lekcjach historii są:</w:t>
      </w:r>
    </w:p>
    <w:p w14:paraId="22795082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eastAsia="ar-SA"/>
        </w:rPr>
      </w:pPr>
    </w:p>
    <w:p w14:paraId="2312570E" w14:textId="77777777" w:rsidR="006E7EE9" w:rsidRPr="006E7EE9" w:rsidRDefault="006E7EE9" w:rsidP="006E7EE9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 xml:space="preserve">wiadomości w zakresie: wskazywania i opisywania faktów historycznych , znajomości terminów i pojęć historycznych, rozpoznawania postaci historycznych i ich znaczenia dla przebiegu wydarzeń historycznych. </w:t>
      </w:r>
    </w:p>
    <w:p w14:paraId="11A28709" w14:textId="77777777" w:rsidR="006E7EE9" w:rsidRPr="006E7EE9" w:rsidRDefault="006E7EE9" w:rsidP="006E7EE9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umiejętności w zakresie: określania wieków wydarzeń, porządkowania wydarzeń w kolejności chronologicznej, analizy mapy historycznej, analizy tekstów źródłowych; posługiwania się zdobytymi informacjami z różnych źródeł; dostrzegania związków przyczynowo- skutkowych w wydarzeniach historycznych.</w:t>
      </w:r>
    </w:p>
    <w:p w14:paraId="23231AAB" w14:textId="77777777" w:rsidR="006E7EE9" w:rsidRPr="006E7EE9" w:rsidRDefault="006E7EE9" w:rsidP="006E7EE9">
      <w:pPr>
        <w:numPr>
          <w:ilvl w:val="0"/>
          <w:numId w:val="22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  <w:lang w:eastAsia="ar-SA"/>
        </w:rPr>
      </w:pPr>
      <w:r w:rsidRPr="006E7EE9">
        <w:rPr>
          <w:rFonts w:ascii="Calibri" w:eastAsia="Times New Roman" w:hAnsi="Calibri" w:cs="Calibri"/>
          <w:sz w:val="24"/>
          <w:szCs w:val="24"/>
          <w:lang w:eastAsia="ar-SA"/>
        </w:rPr>
        <w:t>postawy: systematyczności pracy ucznia przez cały rok (przygotowanie się do zajęć lekcyjnych, udział w wykonywaniu zadań na lekcji); aktywność i inicjatywa; rozwój własnych zdolności i zainteresowań; umiejętność współdziałania w grupie.</w:t>
      </w:r>
    </w:p>
    <w:p w14:paraId="14C2E705" w14:textId="77777777" w:rsidR="006E7EE9" w:rsidRPr="006E7EE9" w:rsidRDefault="006E7EE9" w:rsidP="006E7EE9">
      <w:pPr>
        <w:suppressAutoHyphens/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ar-SA"/>
        </w:rPr>
      </w:pPr>
    </w:p>
    <w:p w14:paraId="14255694" w14:textId="77777777" w:rsidR="006E7EE9" w:rsidRPr="006E7EE9" w:rsidRDefault="006E7EE9" w:rsidP="006E7EE9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  <w:t>Na lekcjach historii ocenie podlegają następujące formy pracy ucznia:</w:t>
      </w:r>
    </w:p>
    <w:p w14:paraId="7777223C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(sprawdziany wiedzy i umiejętności, testy, obejmujące więcej niż 3 jednostki tematyczne),</w:t>
      </w:r>
    </w:p>
    <w:p w14:paraId="30695A06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kartkówki (obejmujące do 3 jednostek tematyczny),</w:t>
      </w:r>
    </w:p>
    <w:p w14:paraId="54AF6654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prace domowe,</w:t>
      </w:r>
    </w:p>
    <w:p w14:paraId="67F58FA9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dodatkowe, ćwiczenia o wyższym stopniu trudności,</w:t>
      </w:r>
    </w:p>
    <w:p w14:paraId="52953CDB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aktywność na zajęciach,</w:t>
      </w:r>
    </w:p>
    <w:p w14:paraId="424C7E11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udział w konkursach przedmiotowych,</w:t>
      </w:r>
    </w:p>
    <w:p w14:paraId="0B8D2A38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zeszytu przedmiotowego oraz zeszytu ćwiczeń ( dotyczy uczniów klas 4-6)</w:t>
      </w:r>
    </w:p>
    <w:p w14:paraId="41996A3B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odpowiedzi ustne,</w:t>
      </w:r>
    </w:p>
    <w:p w14:paraId="358D22A4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karty pracy,</w:t>
      </w:r>
    </w:p>
    <w:p w14:paraId="0276B2D1" w14:textId="77777777" w:rsidR="006E7EE9" w:rsidRPr="006E7EE9" w:rsidRDefault="006E7EE9" w:rsidP="006E7EE9">
      <w:pPr>
        <w:numPr>
          <w:ilvl w:val="0"/>
          <w:numId w:val="23"/>
        </w:numPr>
        <w:suppressAutoHyphens/>
        <w:spacing w:after="12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projekty edukacyjne.</w:t>
      </w:r>
    </w:p>
    <w:p w14:paraId="1EB6A91C" w14:textId="77777777" w:rsidR="006E7EE9" w:rsidRPr="006E7EE9" w:rsidRDefault="006E7EE9" w:rsidP="006E7EE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0825EF4" w14:textId="77777777" w:rsidR="006E7EE9" w:rsidRPr="006E7EE9" w:rsidRDefault="006E7EE9" w:rsidP="006E7EE9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Nauczyciel informuje uczniów i rodziców na początku roku szkolnego o wymaganiach edukacyjnych niezbędnych do uzyskania poszczególnych ocen na koniec semestru i roku szkolnego, sposobach sprawdzania osiągnięć edukacyjnych uczniów oraz o trybie i warunkach uzyskania wyższej niż przewidywana rocznej oceny klasyfikacyjnej.</w:t>
      </w:r>
    </w:p>
    <w:p w14:paraId="0481A7F0" w14:textId="77777777" w:rsidR="006E7EE9" w:rsidRPr="006E7EE9" w:rsidRDefault="006E7EE9" w:rsidP="006E7EE9">
      <w:pPr>
        <w:spacing w:after="12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D1447DF" w14:textId="77777777" w:rsidR="006E7EE9" w:rsidRPr="006E7EE9" w:rsidRDefault="006E7EE9" w:rsidP="006E7EE9">
      <w:pPr>
        <w:spacing w:after="120" w:line="24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Zasady oceniania:</w:t>
      </w:r>
    </w:p>
    <w:p w14:paraId="0E16443B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120" w:line="240" w:lineRule="auto"/>
        <w:ind w:left="50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jest zobowiązany posiadać na zajęciach zeszyt przedmiotowy, podręcznik, zeszyt ćwiczeń ( dotyczy uczniów kl.4-6) oraz odrobioną pracę domową.</w:t>
      </w:r>
    </w:p>
    <w:p w14:paraId="0744359F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120" w:line="240" w:lineRule="auto"/>
        <w:ind w:left="50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Brak w/w uczeń zgłasza na początku zajęć, zanim nauczyciel przystąpi do sprawdzania pracy domowej. Niezgłoszenie braku przygotowania jest równoznaczne z otrzymaniem oceny niedostatecznej. Brak przygotowania do zajęć nauczyciel zaznacza w dzienniku za pomocą znaku „np”.</w:t>
      </w:r>
    </w:p>
    <w:p w14:paraId="5EC9D25A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120" w:line="240" w:lineRule="auto"/>
        <w:ind w:left="502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ma prawo do nieprzygotowania do zajęć lekcyjnych ( nie dotyczy zapowiedzianych wcześniej sprawdzianów i kartkówek):</w:t>
      </w:r>
    </w:p>
    <w:p w14:paraId="7F97AC5F" w14:textId="77777777" w:rsidR="006E7EE9" w:rsidRPr="006E7EE9" w:rsidRDefault="006E7EE9" w:rsidP="006E7EE9">
      <w:pPr>
        <w:numPr>
          <w:ilvl w:val="0"/>
          <w:numId w:val="25"/>
        </w:numPr>
        <w:suppressAutoHyphens/>
        <w:spacing w:after="12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raz – jeśli zajęcia odbywają się raz w tygodniu ( dotyczy uczniów kl. 4)</w:t>
      </w:r>
    </w:p>
    <w:p w14:paraId="78BCA501" w14:textId="77777777" w:rsidR="006E7EE9" w:rsidRPr="006E7EE9" w:rsidRDefault="006E7EE9" w:rsidP="006E7EE9">
      <w:pPr>
        <w:numPr>
          <w:ilvl w:val="0"/>
          <w:numId w:val="25"/>
        </w:numPr>
        <w:suppressAutoHyphens/>
        <w:spacing w:after="120" w:line="240" w:lineRule="auto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razy – jeśli zajęcia odbywają się dwa razy w tygodniu ( dotyczy uczniów kl. 5-8 )</w:t>
      </w:r>
    </w:p>
    <w:p w14:paraId="78131829" w14:textId="77777777" w:rsidR="006E7EE9" w:rsidRPr="006E7EE9" w:rsidRDefault="006E7EE9" w:rsidP="006E7EE9">
      <w:pPr>
        <w:spacing w:after="120" w:line="240" w:lineRule="auto"/>
        <w:ind w:left="1440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F92E664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Po dłuższej nieobecności w szkole (3 dni i więcej)  uczeń ma prawo być nieprzygotowany do zajęć. W przypadku jedno- lub dwudniowej nieobecności wymaga się od ucznia przygotowania do zajęć. W przypadku każdej nieobecności uczeń jest zobowiązany niezwłocznie uzupełnić zeszyt i zeszyt ćwiczeń ( dotyczy uczniów kl.4-6) </w:t>
      </w:r>
    </w:p>
    <w:p w14:paraId="119D49CC" w14:textId="77777777" w:rsidR="006E7EE9" w:rsidRPr="006E7EE9" w:rsidRDefault="006E7EE9" w:rsidP="006E7EE9">
      <w:pPr>
        <w:spacing w:after="0" w:line="240" w:lineRule="auto"/>
        <w:ind w:left="720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A24C4D0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Przez nieprzygotowanie się do lekcji rozumie się: </w:t>
      </w:r>
    </w:p>
    <w:p w14:paraId="4F9F581F" w14:textId="77777777" w:rsidR="006E7EE9" w:rsidRPr="006E7EE9" w:rsidRDefault="006E7EE9" w:rsidP="006E7EE9">
      <w:pPr>
        <w:spacing w:line="240" w:lineRule="auto"/>
        <w:ind w:left="1068" w:firstLine="34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brak zeszytu, zeszytu ćwiczeń ( o ile była w nich praca domowa)</w:t>
      </w:r>
    </w:p>
    <w:p w14:paraId="2F048111" w14:textId="77777777" w:rsidR="006E7EE9" w:rsidRPr="006E7EE9" w:rsidRDefault="006E7EE9" w:rsidP="006E7EE9">
      <w:pPr>
        <w:spacing w:line="240" w:lineRule="auto"/>
        <w:ind w:left="141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brak pracy domowej,</w:t>
      </w:r>
    </w:p>
    <w:p w14:paraId="5AD840EA" w14:textId="77777777" w:rsidR="006E7EE9" w:rsidRPr="006E7EE9" w:rsidRDefault="006E7EE9" w:rsidP="006E7EE9">
      <w:pPr>
        <w:spacing w:line="240" w:lineRule="auto"/>
        <w:ind w:left="720" w:firstLine="696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brak przygotowania do odpowiedzi, pisania niezapowiedzianej kartkówki,</w:t>
      </w:r>
    </w:p>
    <w:p w14:paraId="353F45BF" w14:textId="77777777" w:rsidR="006E7EE9" w:rsidRPr="006E7EE9" w:rsidRDefault="006E7EE9" w:rsidP="006E7EE9">
      <w:pPr>
        <w:spacing w:after="12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          </w:t>
      </w:r>
    </w:p>
    <w:p w14:paraId="57638A13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 przypadku nieobecności trwającej ponad 1 tydzień nauki uczeń ma obowiązek uzupełnić braki ( w tym prace klasowe, sprawdziany czy kartkówki),  w ciągu dwóch tygodni po powrocie do szkoły, w terminie wyznaczonym przez nauczyciela. W przypadku nieusprawiedliwionego niedopełnienia przez ucznia tego obowiązku, otrzymuje on ocenę niedostateczną.</w:t>
      </w:r>
    </w:p>
    <w:p w14:paraId="20B4E501" w14:textId="77777777" w:rsidR="006E7EE9" w:rsidRPr="006E7EE9" w:rsidRDefault="006E7EE9" w:rsidP="006E7E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6C212A1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 są zapowiadane z co najmniej tygodniowym wyprzedzeniem. Nauczyciel podaje zakres sprawdzanych umiejętności i wiedzy.</w:t>
      </w:r>
    </w:p>
    <w:p w14:paraId="6E519E53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 klasowych ocenę dopuszczającą, dostateczną lub dobrą może ją poprawić w ciągu dwóch tygodni od dnia otrzymania sprawdzonej pracy.</w:t>
      </w:r>
    </w:p>
    <w:p w14:paraId="4C33CF50" w14:textId="77777777" w:rsidR="006E7EE9" w:rsidRPr="006E7EE9" w:rsidRDefault="006E7EE9" w:rsidP="006E7EE9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AA4FEF5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Uczeń, który otrzymał z pracy klasowej ocenę niedostateczną ma obowiązek jej poprawy w terminie dwóch tygodni.</w:t>
      </w:r>
    </w:p>
    <w:p w14:paraId="26D60779" w14:textId="77777777" w:rsidR="006E7EE9" w:rsidRPr="006E7EE9" w:rsidRDefault="006E7EE9" w:rsidP="006E7E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BE97A34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Ocenę z kartkówki uczeń może poprawić w terminie tygodnia od dnia otrzymania informacji o uzyskanej ocenie.</w:t>
      </w:r>
    </w:p>
    <w:p w14:paraId="47022782" w14:textId="77777777" w:rsidR="006E7EE9" w:rsidRPr="006E7EE9" w:rsidRDefault="006E7EE9" w:rsidP="006E7E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8B28191" w14:textId="77777777" w:rsidR="006E7EE9" w:rsidRPr="006E7EE9" w:rsidRDefault="006E7EE9" w:rsidP="006E7EE9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3215B43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Ocena z poprawy sprawdzianu lub kartkówki jest wpisywana do dziennika jako kolejna i obydwie oceny są brane pod uwagę przy wystawianiu oceny końcowej na semestr lub koniec roku.</w:t>
      </w:r>
    </w:p>
    <w:p w14:paraId="21B6ED09" w14:textId="77777777" w:rsidR="006E7EE9" w:rsidRPr="006E7EE9" w:rsidRDefault="006E7EE9" w:rsidP="006E7EE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1B047FE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poprawiać ocenę jeden raz (nie dotyczy ocen niedostatecznych).</w:t>
      </w:r>
    </w:p>
    <w:p w14:paraId="62C686F4" w14:textId="77777777" w:rsidR="006E7EE9" w:rsidRPr="006E7EE9" w:rsidRDefault="006E7EE9" w:rsidP="006E7EE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5343ADF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Uczeń ma obowiązek odrabiać prace domowe. Prace domowe powinny być wykonane samodzielnie, zgodnie z poleceniem                         i wskazówkami nauczyciela. Wszelkie spisywanie od innych osób, kopiowanie i przepisywanie całości lub fragmentów tekstów z Internetu oraz innych dostępnych źródeł i przedstawianie jako własne, jest niedopuszczalne i równoznaczne z oceną niedostateczną lub uwagą w dzienniku lekcyjnym. </w:t>
      </w:r>
    </w:p>
    <w:p w14:paraId="6FC373FF" w14:textId="77777777" w:rsidR="006E7EE9" w:rsidRPr="006E7EE9" w:rsidRDefault="006E7EE9" w:rsidP="006E7EE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845E88F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Uczeń może być oceniany za pracę na lekcji wykonywaną w formie ustnej lub pisemnej, indywidualnie  lub zespołowo.</w:t>
      </w:r>
    </w:p>
    <w:p w14:paraId="6CF79794" w14:textId="77777777" w:rsidR="006E7EE9" w:rsidRPr="006E7EE9" w:rsidRDefault="006E7EE9" w:rsidP="006E7EE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717EFC9A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Przez aktywność na lekcji rozumie się:  częste zgłaszanie się na lekcji i udzielanie poprawnych odpowiedzi, rozwiązywanie zadań dodatkowych, aktywną pracę w grupach.  </w:t>
      </w:r>
    </w:p>
    <w:p w14:paraId="2FAD9941" w14:textId="77777777" w:rsidR="006E7EE9" w:rsidRPr="006E7EE9" w:rsidRDefault="006E7EE9" w:rsidP="006E7EE9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1DD2F73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Aktywność ucznia na lekcji nagradzana jest „plusami”. Po trzykrotnym uzyskaniu  „plusów” uczeń otrzymuje ocenę bardzo dobrą.          Brak aktywności, słaba aktywność na lekcji oceniana jest „minusami” . Po trzykrotnym uzyskaniu  „minusów ” uczeń otrzymuje ocenę niedostateczną. </w:t>
      </w:r>
    </w:p>
    <w:p w14:paraId="0D722AA5" w14:textId="77777777" w:rsidR="006E7EE9" w:rsidRPr="006E7EE9" w:rsidRDefault="006E7EE9" w:rsidP="006E7EE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6FDAA393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Aktywność ucznia poza lekcjami nagradzana jest oceną w zależności od rodzaju i wyniku tej aktywności. Przy ustalaniu oceny z prac dodatkowych brane są pod uwagę możliwości ucznia, wkład pracy, pomysłowość, poprawność wykonania zadania. </w:t>
      </w:r>
    </w:p>
    <w:p w14:paraId="31C241FA" w14:textId="77777777" w:rsidR="006E7EE9" w:rsidRPr="006E7EE9" w:rsidRDefault="006E7EE9" w:rsidP="006E7EE9">
      <w:pPr>
        <w:spacing w:after="0" w:line="240" w:lineRule="auto"/>
        <w:ind w:left="720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0469EC2A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Prace klasowe są oceniane według następującej skali:</w:t>
      </w:r>
    </w:p>
    <w:p w14:paraId="6E95C0A6" w14:textId="77777777" w:rsidR="006E7EE9" w:rsidRPr="006E7EE9" w:rsidRDefault="006E7EE9" w:rsidP="006E7EE9">
      <w:pPr>
        <w:spacing w:after="0" w:line="240" w:lineRule="auto"/>
        <w:ind w:left="502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0 – 29% - ocena niedostateczna</w:t>
      </w:r>
    </w:p>
    <w:p w14:paraId="020CA5C2" w14:textId="77777777" w:rsidR="006E7EE9" w:rsidRPr="006E7EE9" w:rsidRDefault="006E7EE9" w:rsidP="006E7EE9">
      <w:pPr>
        <w:spacing w:after="0" w:line="240" w:lineRule="auto"/>
        <w:ind w:left="502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30% - 49% - ocena dopuszczająca</w:t>
      </w:r>
    </w:p>
    <w:p w14:paraId="3A3FA3EC" w14:textId="77777777" w:rsidR="006E7EE9" w:rsidRPr="006E7EE9" w:rsidRDefault="006E7EE9" w:rsidP="006E7EE9">
      <w:pPr>
        <w:spacing w:after="0" w:line="240" w:lineRule="auto"/>
        <w:ind w:left="502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50% - 74% - ocena dostateczna</w:t>
      </w:r>
    </w:p>
    <w:p w14:paraId="3680612A" w14:textId="77777777" w:rsidR="006E7EE9" w:rsidRPr="006E7EE9" w:rsidRDefault="006E7EE9" w:rsidP="006E7EE9">
      <w:pPr>
        <w:spacing w:after="0" w:line="240" w:lineRule="auto"/>
        <w:ind w:left="502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75% - 90% - ocena dobra</w:t>
      </w:r>
    </w:p>
    <w:p w14:paraId="761C5D39" w14:textId="77777777" w:rsidR="006E7EE9" w:rsidRPr="006E7EE9" w:rsidRDefault="006E7EE9" w:rsidP="006E7EE9">
      <w:pPr>
        <w:spacing w:after="0" w:line="240" w:lineRule="auto"/>
        <w:ind w:left="502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91% - 98% - ocena bardzo dobra</w:t>
      </w:r>
    </w:p>
    <w:p w14:paraId="39315329" w14:textId="77777777" w:rsidR="006E7EE9" w:rsidRPr="006E7EE9" w:rsidRDefault="006E7EE9" w:rsidP="006E7EE9">
      <w:pPr>
        <w:spacing w:after="120" w:line="240" w:lineRule="auto"/>
        <w:ind w:left="502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99% - 100% - ocena celująca</w:t>
      </w:r>
    </w:p>
    <w:p w14:paraId="345024B0" w14:textId="77777777" w:rsidR="006E7EE9" w:rsidRPr="006E7EE9" w:rsidRDefault="006E7EE9" w:rsidP="006E7EE9">
      <w:pPr>
        <w:spacing w:after="120" w:line="240" w:lineRule="auto"/>
        <w:ind w:left="502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19C30C9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Podstawą do wystawienia oceny śródrocznej i rocznej ( końcoworocznej) jest średnia ważona. Przyjmuje się następujące wagi ocen:</w:t>
      </w:r>
    </w:p>
    <w:p w14:paraId="60082F03" w14:textId="77777777" w:rsidR="006E7EE9" w:rsidRPr="006E7EE9" w:rsidRDefault="006E7EE9" w:rsidP="006E7EE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W w:w="0" w:type="auto"/>
        <w:tblInd w:w="1511" w:type="dxa"/>
        <w:tblLook w:val="04A0" w:firstRow="1" w:lastRow="0" w:firstColumn="1" w:lastColumn="0" w:noHBand="0" w:noVBand="1"/>
      </w:tblPr>
      <w:tblGrid>
        <w:gridCol w:w="5552"/>
        <w:gridCol w:w="1432"/>
      </w:tblGrid>
      <w:tr w:rsidR="006E7EE9" w:rsidRPr="006E7EE9" w14:paraId="152D1794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0756F" w14:textId="77777777" w:rsidR="006E7EE9" w:rsidRPr="006E7EE9" w:rsidRDefault="006E7EE9" w:rsidP="006E7E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Sposoby sprawdzania wiedzy i umiejętności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6057A" w14:textId="77777777" w:rsidR="006E7EE9" w:rsidRPr="006E7EE9" w:rsidRDefault="006E7EE9" w:rsidP="006E7E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Waga oceny</w:t>
            </w:r>
          </w:p>
        </w:tc>
      </w:tr>
      <w:tr w:rsidR="006E7EE9" w:rsidRPr="006E7EE9" w14:paraId="7591B71C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E3EC9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Ocena końcowa z I semestru (wpisywana do II sem.)</w:t>
            </w:r>
          </w:p>
          <w:p w14:paraId="37EBA3CD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Test</w:t>
            </w:r>
          </w:p>
          <w:p w14:paraId="65F7AFD6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klasowa</w:t>
            </w:r>
          </w:p>
          <w:p w14:paraId="6A217FB4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Konkursy (od poziomu gminnego)</w:t>
            </w:r>
          </w:p>
          <w:p w14:paraId="222D09DD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Odpowiedź ustna </w:t>
            </w:r>
          </w:p>
          <w:p w14:paraId="34E02539" w14:textId="77777777" w:rsidR="006E7EE9" w:rsidRPr="006E7EE9" w:rsidRDefault="006E7EE9" w:rsidP="006E7EE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3 jest wpisywana w dzienniku kolorem </w:t>
            </w:r>
            <w:r w:rsidRPr="006E7EE9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  <w:t>czerwonym.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0CF8E" w14:textId="77777777" w:rsidR="006E7EE9" w:rsidRPr="006E7EE9" w:rsidRDefault="006E7EE9" w:rsidP="006E7EE9">
            <w:pP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382737E1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53977C8B" w14:textId="77777777" w:rsidR="006E7EE9" w:rsidRPr="006E7EE9" w:rsidRDefault="006E7EE9" w:rsidP="006E7EE9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3</w:t>
            </w:r>
          </w:p>
        </w:tc>
      </w:tr>
      <w:tr w:rsidR="006E7EE9" w:rsidRPr="006E7EE9" w14:paraId="4292FB93" w14:textId="77777777" w:rsidTr="006E7EE9">
        <w:trPr>
          <w:trHeight w:val="126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AAC79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Kartkówka</w:t>
            </w:r>
          </w:p>
          <w:p w14:paraId="6A278F2C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2 jest wpisywana w dzienniku kolorem </w:t>
            </w:r>
            <w:r w:rsidRPr="006E7EE9">
              <w:rPr>
                <w:rFonts w:ascii="Calibri" w:eastAsia="Times New Roman" w:hAnsi="Calibri" w:cs="Calibri"/>
                <w:color w:val="00B050"/>
                <w:sz w:val="24"/>
                <w:szCs w:val="24"/>
                <w:lang w:eastAsia="pl-PL"/>
              </w:rPr>
              <w:t>zielonym.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C7683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154B25CE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7EF61BBC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2</w:t>
            </w:r>
          </w:p>
        </w:tc>
      </w:tr>
      <w:tr w:rsidR="006E7EE9" w:rsidRPr="006E7EE9" w14:paraId="36AAFBD4" w14:textId="77777777" w:rsidTr="006E7EE9">
        <w:trPr>
          <w:trHeight w:val="1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A0F0C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Projekt edukacyjny</w:t>
            </w:r>
          </w:p>
          <w:p w14:paraId="31AFEE44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na lekcji (np.  karty pracy)</w:t>
            </w:r>
          </w:p>
          <w:p w14:paraId="4554754E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Aktywność</w:t>
            </w:r>
          </w:p>
          <w:p w14:paraId="5424F991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* Ocena z wagą 1-2 jest wpisywana w dzienniku kolorem czarnym.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70D6A" w14:textId="77777777" w:rsidR="006E7EE9" w:rsidRPr="006E7EE9" w:rsidRDefault="006E7EE9" w:rsidP="006E7EE9">
            <w:pP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br/>
            </w:r>
          </w:p>
          <w:p w14:paraId="3D1A57E7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1-2</w:t>
            </w:r>
          </w:p>
        </w:tc>
      </w:tr>
      <w:tr w:rsidR="006E7EE9" w:rsidRPr="006E7EE9" w14:paraId="0BDC924D" w14:textId="77777777" w:rsidTr="006E7EE9">
        <w:trPr>
          <w:trHeight w:val="2952"/>
        </w:trPr>
        <w:tc>
          <w:tcPr>
            <w:tcW w:w="5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D5B9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0792EEA8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Praca domowa </w:t>
            </w:r>
          </w:p>
          <w:p w14:paraId="2ADA4B58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dodatkowa </w:t>
            </w:r>
          </w:p>
          <w:p w14:paraId="13893E2C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* Ocena z wagą 1 jest wpisywana w dzienniku kolorem </w:t>
            </w:r>
            <w:r w:rsidRPr="006E7E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czarnym</w:t>
            </w: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D13D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</w:t>
            </w:r>
          </w:p>
          <w:p w14:paraId="39C1CDED" w14:textId="77777777" w:rsidR="006E7EE9" w:rsidRPr="006E7EE9" w:rsidRDefault="006E7EE9" w:rsidP="006E7EE9">
            <w:pPr>
              <w:spacing w:after="24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14:paraId="5B05E2D9" w14:textId="77777777" w:rsidR="006E7EE9" w:rsidRPr="006E7EE9" w:rsidRDefault="006E7EE9" w:rsidP="006E7E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      1</w:t>
            </w:r>
          </w:p>
        </w:tc>
      </w:tr>
    </w:tbl>
    <w:p w14:paraId="27E543EE" w14:textId="77777777" w:rsidR="006E7EE9" w:rsidRPr="006E7EE9" w:rsidRDefault="006E7EE9" w:rsidP="006E7EE9">
      <w:pPr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            </w:t>
      </w:r>
    </w:p>
    <w:p w14:paraId="216BBE88" w14:textId="77777777" w:rsidR="006E7EE9" w:rsidRPr="006E7EE9" w:rsidRDefault="006E7EE9" w:rsidP="006E7EE9">
      <w:pPr>
        <w:spacing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Średniej ważonej przyporządkowuje się następującą ocenę śródroczną i roczną ( końcoworoczną ):</w:t>
      </w:r>
    </w:p>
    <w:tbl>
      <w:tblPr>
        <w:tblW w:w="0" w:type="auto"/>
        <w:tblInd w:w="1223" w:type="dxa"/>
        <w:tblLook w:val="04A0" w:firstRow="1" w:lastRow="0" w:firstColumn="1" w:lastColumn="0" w:noHBand="0" w:noVBand="1"/>
      </w:tblPr>
      <w:tblGrid>
        <w:gridCol w:w="1748"/>
        <w:gridCol w:w="1704"/>
      </w:tblGrid>
      <w:tr w:rsidR="006E7EE9" w:rsidRPr="006E7EE9" w14:paraId="2A9B5E3E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791C4E" w14:textId="77777777" w:rsidR="006E7EE9" w:rsidRPr="006E7EE9" w:rsidRDefault="006E7EE9" w:rsidP="006E7EE9">
            <w:pPr>
              <w:spacing w:line="0" w:lineRule="atLeast"/>
              <w:ind w:right="-63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średnia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FBF50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6E7EE9" w:rsidRPr="006E7EE9" w14:paraId="3D6AC774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7B45DE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do 1,55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42B38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niedostateczny</w:t>
            </w:r>
          </w:p>
        </w:tc>
      </w:tr>
      <w:tr w:rsidR="006E7EE9" w:rsidRPr="006E7EE9" w14:paraId="4B5A6AB7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28B40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1,56 do 2,65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54F57B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dopuszczający</w:t>
            </w:r>
          </w:p>
        </w:tc>
      </w:tr>
      <w:tr w:rsidR="006E7EE9" w:rsidRPr="006E7EE9" w14:paraId="4B6EF8D3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BCD235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2,66 do 3,65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93263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dostateczny</w:t>
            </w:r>
          </w:p>
        </w:tc>
      </w:tr>
      <w:tr w:rsidR="006E7EE9" w:rsidRPr="006E7EE9" w14:paraId="59FA8A75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4C900A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3,66 do 4,65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EC439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dobry</w:t>
            </w:r>
          </w:p>
        </w:tc>
      </w:tr>
      <w:tr w:rsidR="006E7EE9" w:rsidRPr="006E7EE9" w14:paraId="3E98B04A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E9CD7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 4,66 do 5,3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3EB5B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bardzo dobry</w:t>
            </w:r>
          </w:p>
        </w:tc>
      </w:tr>
      <w:tr w:rsidR="006E7EE9" w:rsidRPr="006E7EE9" w14:paraId="0208E117" w14:textId="77777777" w:rsidTr="006E7EE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AFE380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0d 5,31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B74618" w14:textId="77777777" w:rsidR="006E7EE9" w:rsidRPr="006E7EE9" w:rsidRDefault="006E7EE9" w:rsidP="006E7EE9">
            <w:pPr>
              <w:spacing w:line="0" w:lineRule="atLeast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6E7EE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celujący*</w:t>
            </w:r>
          </w:p>
        </w:tc>
      </w:tr>
    </w:tbl>
    <w:p w14:paraId="29AFD5B8" w14:textId="77777777" w:rsidR="006E7EE9" w:rsidRPr="006E7EE9" w:rsidRDefault="006E7EE9" w:rsidP="006E7EE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9A6CDAF" w14:textId="77777777" w:rsidR="006E7EE9" w:rsidRPr="006E7EE9" w:rsidRDefault="006E7EE9" w:rsidP="006E7EE9">
      <w:pPr>
        <w:spacing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*Ocenę celującą otrzymuje również uczeń  będący laureatem konkursu przedmiotowego o zasięgu wojewódzkim lub ponadwojewódzkim lub finalista ogólnopolskiej olimpiady przedmiotowej.</w:t>
      </w:r>
    </w:p>
    <w:p w14:paraId="6F2D9B3F" w14:textId="77777777" w:rsidR="006E7EE9" w:rsidRPr="006E7EE9" w:rsidRDefault="006E7EE9" w:rsidP="006E7EE9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sz w:val="24"/>
          <w:szCs w:val="24"/>
          <w:lang w:eastAsia="pl-PL"/>
        </w:rPr>
        <w:br/>
      </w:r>
    </w:p>
    <w:p w14:paraId="43A9B693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Na dwa tygodnie przed klasyfikacją nauczyciel informuje ucznia o przewidywanej ocenie.  Uczeń może poprawić ocenę  śródroczną i roczną o stopień wyżej. W przypadku, gdy uczeń wyraża chęć uzyskania wyższej niż przewidywana oceny klasyfikacyjnej  zobowiązany jest do:</w:t>
      </w:r>
    </w:p>
    <w:p w14:paraId="60CDF473" w14:textId="77777777" w:rsidR="006E7EE9" w:rsidRPr="006E7EE9" w:rsidRDefault="006E7EE9" w:rsidP="006E7EE9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 poinformowania o tym nauczyciela w ciągu trzech dni od uzyskania informacji o przewidywanej ocenie,</w:t>
      </w:r>
    </w:p>
    <w:p w14:paraId="5827D1D1" w14:textId="77777777" w:rsidR="006E7EE9" w:rsidRPr="006E7EE9" w:rsidRDefault="006E7EE9" w:rsidP="006E7EE9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-  napisania testu sprawdzającego wiedzę  i umiejętności z materiału nauczania realizowanego w ciągu semestru lub roku. </w:t>
      </w:r>
    </w:p>
    <w:p w14:paraId="0AA92A4D" w14:textId="77777777" w:rsidR="006E7EE9" w:rsidRPr="006E7EE9" w:rsidRDefault="006E7EE9" w:rsidP="006E7EE9">
      <w:pPr>
        <w:spacing w:after="0" w:line="240" w:lineRule="auto"/>
        <w:ind w:left="72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6C88A9E" w14:textId="77777777" w:rsidR="006E7EE9" w:rsidRPr="006E7EE9" w:rsidRDefault="006E7EE9" w:rsidP="006E7EE9">
      <w:pPr>
        <w:numPr>
          <w:ilvl w:val="0"/>
          <w:numId w:val="24"/>
        </w:numPr>
        <w:suppressAutoHyphens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Sprawdzian wiedzy i umiejętności obejmuje treści ujęte w przedmiotowych wymaganiach edukacyjnych  na poszczególne oceny. </w:t>
      </w:r>
    </w:p>
    <w:p w14:paraId="267A7D2E" w14:textId="77777777" w:rsidR="006E7EE9" w:rsidRPr="006E7EE9" w:rsidRDefault="006E7EE9" w:rsidP="006E7EE9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42126E0" w14:textId="77777777" w:rsidR="006E7EE9" w:rsidRPr="006E7EE9" w:rsidRDefault="006E7EE9" w:rsidP="006E7EE9">
      <w:pPr>
        <w:spacing w:after="0" w:line="240" w:lineRule="auto"/>
        <w:ind w:left="142" w:hanging="57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6E7EE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            22.Uczeń, aby otrzymać  wyższą ocenę, musi ze sprawdzianu uzyskać minimum 90% punktów możliwych do zdobycia. </w:t>
      </w:r>
    </w:p>
    <w:p w14:paraId="46DD3F0F" w14:textId="77777777" w:rsidR="006E7EE9" w:rsidRPr="006E7EE9" w:rsidRDefault="006E7EE9" w:rsidP="006E7EE9">
      <w:pPr>
        <w:spacing w:after="0" w:line="240" w:lineRule="auto"/>
        <w:ind w:left="142" w:hanging="57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30C8FA91" w14:textId="77777777" w:rsidR="006E7EE9" w:rsidRPr="006E7EE9" w:rsidRDefault="006E7EE9" w:rsidP="006E7EE9">
      <w:pPr>
        <w:spacing w:after="0" w:line="240" w:lineRule="auto"/>
        <w:ind w:left="142" w:hanging="578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540D2B3C" w14:textId="77777777" w:rsidR="00AF1EC2" w:rsidRDefault="00AF1EC2" w:rsidP="00FE1C91">
      <w:pPr>
        <w:spacing w:after="0"/>
        <w:jc w:val="center"/>
        <w:rPr>
          <w:rFonts w:cstheme="minorHAnsi"/>
          <w:b/>
          <w:u w:val="single"/>
        </w:rPr>
      </w:pPr>
    </w:p>
    <w:p w14:paraId="20DF2C3F" w14:textId="77777777" w:rsidR="006E7EE9" w:rsidRDefault="006E7EE9" w:rsidP="00FE1C91">
      <w:pPr>
        <w:spacing w:after="0"/>
        <w:jc w:val="center"/>
        <w:rPr>
          <w:rFonts w:cstheme="minorHAnsi"/>
          <w:b/>
          <w:sz w:val="32"/>
          <w:szCs w:val="32"/>
        </w:rPr>
      </w:pPr>
    </w:p>
    <w:p w14:paraId="09641EB1" w14:textId="77777777" w:rsidR="00973BFE" w:rsidRPr="006E7EE9" w:rsidRDefault="00D01951" w:rsidP="00FE1C91">
      <w:pPr>
        <w:spacing w:after="0"/>
        <w:jc w:val="center"/>
        <w:rPr>
          <w:rFonts w:cstheme="minorHAnsi"/>
          <w:b/>
          <w:sz w:val="32"/>
          <w:szCs w:val="32"/>
        </w:rPr>
      </w:pPr>
      <w:r w:rsidRPr="006E7EE9">
        <w:rPr>
          <w:rFonts w:cstheme="minorHAnsi"/>
          <w:b/>
          <w:sz w:val="32"/>
          <w:szCs w:val="32"/>
        </w:rPr>
        <w:lastRenderedPageBreak/>
        <w:t>Wymagania na poszczególne oceny</w:t>
      </w:r>
      <w:r w:rsidR="00FE1C91" w:rsidRPr="006E7EE9">
        <w:rPr>
          <w:rFonts w:cstheme="minorHAnsi"/>
          <w:b/>
          <w:sz w:val="32"/>
          <w:szCs w:val="32"/>
        </w:rPr>
        <w:t xml:space="preserve">  z historii dla uczniów klasy szóstej szkoły podstawowej </w:t>
      </w:r>
    </w:p>
    <w:p w14:paraId="31689DF0" w14:textId="60FA29D1" w:rsidR="00FE1C91" w:rsidRPr="006E7EE9" w:rsidRDefault="00FE1C91" w:rsidP="00FE1C91">
      <w:pPr>
        <w:spacing w:after="0"/>
        <w:jc w:val="center"/>
        <w:rPr>
          <w:rFonts w:cstheme="minorHAnsi"/>
          <w:sz w:val="32"/>
          <w:szCs w:val="32"/>
        </w:rPr>
      </w:pPr>
      <w:r w:rsidRPr="006E7EE9">
        <w:rPr>
          <w:rFonts w:cstheme="minorHAnsi"/>
          <w:b/>
          <w:sz w:val="32"/>
          <w:szCs w:val="32"/>
        </w:rPr>
        <w:t>do programu nauczania „Wczoraj i dziś”</w:t>
      </w:r>
    </w:p>
    <w:p w14:paraId="7A0C92A6" w14:textId="65E2306C" w:rsidR="00D01951" w:rsidRPr="00973BFE" w:rsidRDefault="00D01951" w:rsidP="000A08B0">
      <w:pPr>
        <w:spacing w:after="0"/>
        <w:rPr>
          <w:rFonts w:cstheme="minorHAnsi"/>
          <w:b/>
          <w:sz w:val="28"/>
          <w:szCs w:val="28"/>
          <w:u w:val="single"/>
        </w:rPr>
      </w:pP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Diaz)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Diaza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(H</w:t>
            </w:r>
            <w:r w:rsidR="00DC5B6E">
              <w:rPr>
                <w:rFonts w:cstheme="minorHAnsi"/>
              </w:rPr>
              <w:t>ernán</w:t>
            </w:r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>Nihil novi</w:t>
            </w:r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>Nihil novi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interrex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Kłuszynem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Kłuszynem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Stanisława Żółkiewskiego jako dowódcę bitwy pod Kłuszynem</w:t>
            </w:r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Moskwę i Kłuszyn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następstwa dymitriady</w:t>
            </w:r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Korsuń,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Marię Teresę, Józefa II, Piotra I i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d Sasa do Lasa</w:t>
            </w:r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41884" w14:textId="77777777" w:rsidR="001B419E" w:rsidRDefault="001B419E" w:rsidP="007B1B87">
      <w:pPr>
        <w:spacing w:after="0" w:line="240" w:lineRule="auto"/>
      </w:pPr>
      <w:r>
        <w:separator/>
      </w:r>
    </w:p>
  </w:endnote>
  <w:endnote w:type="continuationSeparator" w:id="0">
    <w:p w14:paraId="124A9CD3" w14:textId="77777777" w:rsidR="001B419E" w:rsidRDefault="001B419E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EE9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C18E3" w14:textId="77777777" w:rsidR="001B419E" w:rsidRDefault="001B419E" w:rsidP="007B1B87">
      <w:pPr>
        <w:spacing w:after="0" w:line="240" w:lineRule="auto"/>
      </w:pPr>
      <w:r>
        <w:separator/>
      </w:r>
    </w:p>
  </w:footnote>
  <w:footnote w:type="continuationSeparator" w:id="0">
    <w:p w14:paraId="49A41F3C" w14:textId="77777777" w:rsidR="001B419E" w:rsidRDefault="001B419E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57F85"/>
    <w:multiLevelType w:val="hybridMultilevel"/>
    <w:tmpl w:val="C952DB1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391601"/>
    <w:multiLevelType w:val="hybridMultilevel"/>
    <w:tmpl w:val="BA9C6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2E3D25"/>
    <w:multiLevelType w:val="hybridMultilevel"/>
    <w:tmpl w:val="CE122D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FF56A6"/>
    <w:multiLevelType w:val="multilevel"/>
    <w:tmpl w:val="BB0E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45EC8"/>
    <w:multiLevelType w:val="hybridMultilevel"/>
    <w:tmpl w:val="CC324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831178"/>
    <w:multiLevelType w:val="multilevel"/>
    <w:tmpl w:val="9D16B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0763A"/>
    <w:multiLevelType w:val="hybridMultilevel"/>
    <w:tmpl w:val="54A46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2338E"/>
    <w:multiLevelType w:val="hybridMultilevel"/>
    <w:tmpl w:val="3BF8E8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350804"/>
    <w:multiLevelType w:val="hybridMultilevel"/>
    <w:tmpl w:val="1A00F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20A2D"/>
    <w:multiLevelType w:val="hybridMultilevel"/>
    <w:tmpl w:val="9CE69C76"/>
    <w:lvl w:ilvl="0" w:tplc="6350502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642A40"/>
    <w:multiLevelType w:val="hybridMultilevel"/>
    <w:tmpl w:val="07E4F732"/>
    <w:lvl w:ilvl="0" w:tplc="FC3E99A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1557A5"/>
    <w:multiLevelType w:val="hybridMultilevel"/>
    <w:tmpl w:val="1A709D86"/>
    <w:lvl w:ilvl="0" w:tplc="4F58346A">
      <w:start w:val="1"/>
      <w:numFmt w:val="decimal"/>
      <w:lvlText w:val="%1"/>
      <w:lvlJc w:val="left"/>
      <w:pPr>
        <w:ind w:left="10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3"/>
  </w:num>
  <w:num w:numId="4">
    <w:abstractNumId w:val="0"/>
  </w:num>
  <w:num w:numId="5">
    <w:abstractNumId w:val="8"/>
  </w:num>
  <w:num w:numId="6">
    <w:abstractNumId w:val="6"/>
  </w:num>
  <w:num w:numId="7">
    <w:abstractNumId w:val="15"/>
  </w:num>
  <w:num w:numId="8">
    <w:abstractNumId w:val="18"/>
  </w:num>
  <w:num w:numId="9">
    <w:abstractNumId w:val="22"/>
  </w:num>
  <w:num w:numId="10">
    <w:abstractNumId w:val="14"/>
  </w:num>
  <w:num w:numId="11">
    <w:abstractNumId w:val="9"/>
  </w:num>
  <w:num w:numId="12">
    <w:abstractNumId w:val="24"/>
  </w:num>
  <w:num w:numId="13">
    <w:abstractNumId w:val="12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3F38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C80"/>
    <w:rsid w:val="001A7DF8"/>
    <w:rsid w:val="001A7E18"/>
    <w:rsid w:val="001B0A82"/>
    <w:rsid w:val="001B1D43"/>
    <w:rsid w:val="001B419E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352E3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0426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E7EE9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3BFE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1EC2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1C91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1">
    <w:name w:val="Domyślna czcionka akapitu1"/>
    <w:rsid w:val="00AF1EC2"/>
  </w:style>
  <w:style w:type="character" w:customStyle="1" w:styleId="postbody1">
    <w:name w:val="postbody1"/>
    <w:basedOn w:val="Domylnaczcionkaakapitu"/>
    <w:rsid w:val="00AF1E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omylnaczcionkaakapitu1">
    <w:name w:val="Domyślna czcionka akapitu1"/>
    <w:rsid w:val="00AF1EC2"/>
  </w:style>
  <w:style w:type="character" w:customStyle="1" w:styleId="postbody1">
    <w:name w:val="postbody1"/>
    <w:basedOn w:val="Domylnaczcionkaakapitu"/>
    <w:rsid w:val="00AF1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78CFA-E1FE-482C-915C-0AB50964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7816</Words>
  <Characters>46897</Characters>
  <Application>Microsoft Office Word</Application>
  <DocSecurity>0</DocSecurity>
  <Lines>390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Karina Bekus</cp:lastModifiedBy>
  <cp:revision>9</cp:revision>
  <cp:lastPrinted>2017-09-06T11:26:00Z</cp:lastPrinted>
  <dcterms:created xsi:type="dcterms:W3CDTF">2019-08-13T14:37:00Z</dcterms:created>
  <dcterms:modified xsi:type="dcterms:W3CDTF">2022-08-31T09:14:00Z</dcterms:modified>
</cp:coreProperties>
</file>